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761" w:right="1350" w:hanging="64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Программа организации и осуществления сегмента 21 - го Китайского международного форума по обмену талантами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333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В соответствии с « Общей программой работы 21 - й Китайской международной конференции по обмену талантами», целью конференции является создание « речевого стола» в области международного научно - технического и инновационного сотрудничества и международного обмена талантами, а также усилия по созданию системы форумов и конференций под руководством Шэньчжэньского форума, параллельных форумов (профессиональных форумов) и специальных конференций, идущих рука об руку. На фоне содействия взаимовыгодному и взаимовыгодному международному научно - техническому и инновационному сотрудничеству и обмену талантами в открытой среде Шэньчжэньский форум сосредоточил внимание на таких важных вопросах, как укрепление национальных стратегических научно - технических сил, создание центров талантов и инновационных высот мирового значения, повышение технологического инновационного потенциала предприятий, стимулирование инновационной деятельности талантов и совершенствование институциональных механизмов научно - технических инноваций, приглашая соответствующих лидеров, иностранных экспертов, ведущих ученых, Участие и обмен мнениями между видными предпринимателями. Параллельные форумы (профессиональные форумы), тематические конференции сосредоточены на ключевых областях экономического и социального развития, сосредоточены на научно - техническом сотрудничестве, обмене талантами, строительстве международной среды, зеленом низкоуглеродном, возрождении сельских районов, научно - техническом финансировании, интеграции промышленных цепочек инновационных цепочек, исследованиях подрывных технологий и других областях ключевой работы и горячих тем, в форме организации и проведения различных форумов, приглашаются соответствующие сотрудники правительственных ведомств, эксперты, ученые, специалисты для публикации политики, Пропаганда окружающей среды, обмен идеями, продвижение идей, обмен опытом.</w:t>
      </w:r>
    </w:p>
    <w:p>
      <w:pPr>
        <w:spacing w:line="513" w:lineRule="exact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I. Время проведения Форума</w:t>
      </w:r>
    </w:p>
    <w:p>
      <w:pPr>
        <w:spacing w:before="47" w:line="344" w:lineRule="auto"/>
        <w:ind w:left="8" w:right="37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Он будет проходить в ходе основной сессии Генеральной Ассамблеи с 15 по 16 апреля, а также нерегулярно с момента открытия Конференции до конца года.</w:t>
      </w:r>
    </w:p>
    <w:p>
      <w:pPr>
        <w:sectPr>
          <w:footerReference r:id="rId5" w:type="default"/>
          <w:pgSz w:w="11906" w:h="16839"/>
          <w:pgMar w:top="400" w:right="1373" w:bottom="1876" w:left="1598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ОСНОВНЫЕ ЭЛЕМЕНТЫ</w:t>
      </w:r>
    </w:p>
    <w:p>
      <w:pPr>
        <w:spacing w:before="142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(1) Шэньчжэньский форум</w:t>
      </w:r>
    </w:p>
    <w:p>
      <w:pPr>
        <w:spacing w:before="174" w:line="333" w:lineRule="auto"/>
        <w:ind w:left="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Шэньчжэньский форум является ядром конференционной системы форума Генеральной Ассамблеи. Форум был посвящен таким важным вопросам, как укрепление национальных стратегических научно - технических сил, создание центров талантов мирового значения и инновационных высот, повышение технологического инновационного потенциала предприятий, стимулирование инновационной жизнеспособности талантов, совершенствование институциональных механизмов научно - технических инноваций и т.д., на него были приглашены соответствующие лидеры, иностранные эксперты, ведущие ученые и известные предприниматели для участия и проведения дискуссий и обменов.</w:t>
      </w:r>
    </w:p>
    <w:p>
      <w:pPr>
        <w:spacing w:before="4" w:line="333" w:lineRule="auto"/>
        <w:ind w:left="11" w:firstLine="61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Шэньчжэньский форум Генеральной Ассамблеи намерен провести « Международный саммит по научно - техническим и инновационным городам», пригласив руководство Министерства науки и техники выступить с основным докладом, а руководителей (руководителей) Всемирной организации интеллектуальной собственности, Пекина, Шанхая, района Большого залива Гуандун - Гонконг - Макао и соответствующих крупных инновационных городских агломераций мира - с основным докладом. [ Соответствующие отделы Министерства науки и техники возглавляются Китайским международным центром обмена талантами]</w:t>
      </w:r>
    </w:p>
    <w:p>
      <w:pPr>
        <w:spacing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(ii) Параллельные форумы (профессиональные форумы)</w:t>
      </w:r>
    </w:p>
    <w:p>
      <w:pPr>
        <w:spacing w:before="178" w:line="333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Параллельные форумы (профессиональные форумы) фокусируются на ключевых задачах и горячих темах в области научно - технического сотрудничества, обмена талантами, строительства международной среды, зеленого низкоуглеродного финансирования, научно - технического финансирования, интеграции промышленных цепочек инновационной цепочки, исследований подрывных технологий и других областях, приглашают правительственные органы управления, академические круги и промышленные круги Цзябинь для обсуждения и обмена.</w:t>
      </w:r>
    </w:p>
    <w:p>
      <w:pPr>
        <w:spacing w:before="7" w:line="337" w:lineRule="auto"/>
        <w:ind w:firstLine="63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Параллельный форум нынешней сессии Генеральной Ассамблеи продолжит работу Форума по поддержке научно - технических инноваций для возрождения и развития сельских районов (3 - й), Международного форума по управлению проектами (10 - й) и других влиятельных международных форумов брендов, используя принцип « вокруг национальных стратегий, международных нечувствительных тем», пригласив ведущих отечественных и зарубежных ученых принять участие в соответствующих форумах; Организовать участие молодых и средних ученых в стране и за рубежом в соответствующих форумах по вопросам, относящимся к их компетенции. [ Соответствующие отделы и центры Министерства науки и техники, соответствующие сотрудничающие подразделения Генеральной Ассамблеи]</w:t>
      </w:r>
    </w:p>
    <w:p>
      <w:pPr>
        <w:sectPr>
          <w:footerReference r:id="rId6" w:type="default"/>
          <w:pgSz w:w="11906" w:h="16839"/>
          <w:pgMar w:top="400" w:right="1598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(iii) Тематические заседания</w:t>
      </w:r>
    </w:p>
    <w:p>
      <w:pPr>
        <w:spacing w:before="170" w:line="334" w:lineRule="auto"/>
        <w:ind w:left="5" w:right="9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Симпозиум фокусируется на ключевых моментах и трудностях научно - технических инноваций и работы талантов, приглашает органы управления наукой и техникой, профессиональные ассоциации, общества и социальные силы, проводит политические конференции, семинары, симпозиумы в соответствующих областях и приглашает соответствующих специалистов для обсуждения.</w:t>
      </w:r>
    </w:p>
    <w:p>
      <w:pPr>
        <w:spacing w:before="3" w:line="333" w:lineRule="auto"/>
        <w:ind w:firstLine="62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На конференции будет создан механизм публикации политики, в ходе которой будут опубликованы национальные и местные стратегические документы и исследования по научно - техническим инновациям и обмену талантами, а также по открытому инновационному экологическому строительству. Воспользуйтесь возможностью, предоставленной Министерством науки и техники и соответствующими сотрудниками местных научно - технических управлений (комитетов и бюро), чтобы собраться в Шэньчжэне во время конференции, чтобы провести различные политические семинары, чтобы дать ссылку на политику посадки; В сочетании с публикацией политики, одновременное проведение политических обменов, презентаций, симпозиумов. [ Соответствующие отделы и центры Министерства науки и техники, соответствующие сотрудничающие подразделения Генеральной Ассамблеи]</w:t>
      </w:r>
    </w:p>
    <w:p>
      <w:pPr>
        <w:spacing w:before="1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III. Способы участия</w:t>
      </w:r>
    </w:p>
    <w:p>
      <w:pPr>
        <w:spacing w:before="154" w:line="234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(i) Программы отчетности</w:t>
      </w:r>
    </w:p>
    <w:p>
      <w:pPr>
        <w:spacing w:before="171" w:line="333" w:lineRule="auto"/>
        <w:ind w:left="1" w:right="9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Организаторам, заинтересованным в проведении сессий Форума в ходе Конгресса, предлагается до 10 марта связаться с Пекинской или Шэньчжэньской рабочими группами Организационного комитета Конгресса и представить свои программы и соответствующую документацию.</w:t>
      </w:r>
    </w:p>
    <w:p>
      <w:pPr>
        <w:spacing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(ii) Определение участка</w:t>
      </w:r>
    </w:p>
    <w:p>
      <w:pPr>
        <w:spacing w:before="172" w:line="333" w:lineRule="auto"/>
        <w:ind w:left="5" w:right="9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Пожалуйста, убедитесь, что главный организатор форума свяжется с Шэньчжэньской рабочей группой оргкомитета конференции до 10 марта, чтобы определить место проведения и своевременно оплатить соответствующие сборы.</w:t>
      </w:r>
    </w:p>
    <w:p>
      <w:pPr>
        <w:spacing w:line="232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IV. Контактная информация</w:t>
      </w:r>
    </w:p>
    <w:p>
      <w:pPr>
        <w:spacing w:before="172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Пекинская рабочая группа Организационного комитета Генеральной Ассамблеи</w:t>
      </w:r>
    </w:p>
    <w:p>
      <w:pPr>
        <w:spacing w:before="191" w:line="225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Ван Ци, Го Янь</w:t>
      </w:r>
    </w:p>
    <w:p>
      <w:pPr>
        <w:sectPr>
          <w:footerReference r:id="rId7" w:type="default"/>
          <w:pgSz w:w="11906" w:h="16839"/>
          <w:pgMar w:top="400" w:right="1507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Тел.: 010 - 58882132010 - 58882089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guoyan@ciep.gov.cn</w:t>
      </w:r>
    </w:p>
    <w:p>
      <w:pPr>
        <w:spacing w:before="189" w:line="220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Шэньчжэньская рабочая группа Организационного комитета Генеральной Ассамблеи</w:t>
      </w:r>
    </w:p>
    <w:p>
      <w:pPr>
        <w:spacing w:before="191" w:line="225" w:lineRule="auto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Контактные лица: Е. Сюйвен, Го Вэйю</w:t>
      </w:r>
    </w:p>
    <w:p>
      <w:pPr>
        <w:spacing w:before="181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Тел.: 0755 - 81773047, 0755 - 81773461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yexiuwen@ciep.gov.cn</w:t>
      </w:r>
    </w:p>
    <w:p>
      <w:pPr>
        <w:spacing w:before="132" w:line="429" w:lineRule="exact"/>
        <w:ind w:left="167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guoweiyu@ciep.gov.cn</w:t>
      </w:r>
    </w:p>
    <w:p>
      <w:pPr>
        <w:sectPr>
          <w:footerReference r:id="rId8" w:type="default"/>
          <w:pgSz w:w="11906" w:h="16839"/>
          <w:pgMar w:top="400" w:right="1785" w:bottom="1876" w:left="1785" w:header="0" w:footer="1716" w:gutter="0"/>
          <w:cols w:space="720" w:num="1"/>
        </w:sectPr>
      </w:pPr>
    </w:p>
    <w:p/>
    <w:bookmarkEnd w:id="0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5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145768B3"/>
    <w:rsid w:val="2802614E"/>
    <w:rsid w:val="4EB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B560AEFAA3C34EC680CB0474D5F8EC2E</vt:lpwstr>
  </property>
</Properties>
</file>